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7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7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7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7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pStyle w:val="1027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1027"/>
        <w:ind w:right="-57"/>
        <w:jc w:val="center"/>
        <w:spacing w:before="120"/>
        <w:tabs>
          <w:tab w:val="left" w:pos="10440" w:leader="none"/>
        </w:tabs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sz w:val="18"/>
          <w:szCs w:val="18"/>
        </w:rPr>
        <w:t xml:space="preserve">Красная, 144, Ижевск, 426008</w:t>
      </w:r>
      <w:r>
        <w:rPr>
          <w:rFonts w:ascii="PT Astra Serif" w:hAnsi="PT Astra Serif" w:cs="PT Astra Serif"/>
          <w:color w:val="000000"/>
          <w:sz w:val="18"/>
          <w:szCs w:val="18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</w:p>
    <w:p>
      <w:pPr>
        <w:pStyle w:val="1027"/>
        <w:ind w:right="-55"/>
        <w:jc w:val="center"/>
        <w:tabs>
          <w:tab w:val="left" w:pos="10440" w:leader="none"/>
        </w:tabs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sz w:val="18"/>
          <w:szCs w:val="18"/>
        </w:rPr>
        <w:t xml:space="preserve">Тел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.: (3412) 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222-688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, 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e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-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mail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: </w:t>
      </w:r>
      <w:r>
        <w:rPr>
          <w:rFonts w:ascii="PT Astra Serif" w:hAnsi="PT Astra Serif" w:eastAsia="PT Astra Serif" w:cs="PT Astra Serif"/>
          <w:color w:val="000000"/>
          <w:lang w:val="en-US"/>
        </w:rPr>
        <w:t xml:space="preserve">mail@mpt.udmr.ru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, </w:t>
      </w:r>
      <w:r>
        <w:rPr>
          <w:rFonts w:ascii="PT Astra Serif" w:hAnsi="PT Astra Serif" w:eastAsia="PT Astra Serif" w:cs="PT Astra Serif"/>
          <w:lang w:val="en-US"/>
        </w:rPr>
        <w:t xml:space="preserve">http://www.mintorg.udmurt.ru</w:t>
      </w:r>
      <w:r>
        <w:rPr>
          <w:rFonts w:ascii="PT Astra Serif" w:hAnsi="PT Astra Serif" w:cs="PT Astra Serif"/>
          <w:color w:val="000000"/>
          <w:sz w:val="18"/>
          <w:szCs w:val="18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</w:p>
    <w:p>
      <w:pPr>
        <w:pStyle w:val="1027"/>
        <w:ind w:right="-55"/>
        <w:jc w:val="center"/>
        <w:tabs>
          <w:tab w:val="left" w:pos="10440" w:leader="none"/>
        </w:tabs>
        <w:rPr>
          <w:rFonts w:ascii="PT Astra Serif" w:hAnsi="PT Astra Serif" w:cs="PT Astra Serif"/>
          <w:sz w:val="18"/>
          <w:szCs w:val="18"/>
        </w:rPr>
      </w:pPr>
      <w:r>
        <w:rPr>
          <w:rFonts w:ascii="PT Astra Serif" w:hAnsi="PT Astra Serif" w:eastAsia="PT Astra Serif" w:cs="PT Astra Serif"/>
          <w:sz w:val="18"/>
          <w:szCs w:val="18"/>
        </w:rPr>
        <w:t xml:space="preserve">ОКПО 29993625 О</w:t>
      </w:r>
      <w:r>
        <w:rPr>
          <w:rFonts w:ascii="PT Astra Serif" w:hAnsi="PT Astra Serif" w:eastAsia="PT Astra Serif" w:cs="PT Astra Serif"/>
          <w:sz w:val="18"/>
          <w:szCs w:val="18"/>
        </w:rPr>
        <w:t xml:space="preserve">Г</w:t>
      </w:r>
      <w:r>
        <w:rPr>
          <w:rFonts w:ascii="PT Astra Serif" w:hAnsi="PT Astra Serif" w:eastAsia="PT Astra Serif" w:cs="PT Astra Serif"/>
          <w:sz w:val="18"/>
          <w:szCs w:val="18"/>
        </w:rPr>
        <w:t xml:space="preserve">РН 1151831000463 ИНН/КПП 1841048002/184101001</w:t>
      </w:r>
      <w:r>
        <w:rPr>
          <w:rFonts w:ascii="PT Astra Serif" w:hAnsi="PT Astra Serif" w:cs="PT Astra Serif"/>
          <w:sz w:val="18"/>
          <w:szCs w:val="18"/>
        </w:rPr>
      </w:r>
      <w:r>
        <w:rPr>
          <w:rFonts w:ascii="PT Astra Serif" w:hAnsi="PT Astra Serif" w:cs="PT Astra Serif"/>
          <w:sz w:val="18"/>
          <w:szCs w:val="18"/>
        </w:rPr>
      </w:r>
    </w:p>
    <w:p>
      <w:pPr>
        <w:pStyle w:val="1027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1027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ПРЕСС – РЕЛИЗ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078"/>
        <w:jc w:val="center"/>
        <w:spacing w:before="0" w:beforeAutospacing="0" w:after="0" w:afterAutospacing="0"/>
        <w:shd w:val="clear" w:color="auto" w:fill="ffffff"/>
        <w:rPr>
          <w:rStyle w:val="1079"/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И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тоги 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79"/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Style w:val="1079"/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1078"/>
        <w:jc w:val="center"/>
        <w:spacing w:before="0" w:beforeAutospacing="0" w:after="0" w:afterAutospacing="0"/>
        <w:shd w:val="clear" w:color="auto" w:fill="ffffff"/>
        <w:rPr>
          <w:rStyle w:val="1079"/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за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 январь-февраль 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20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2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5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 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год</w:t>
      </w:r>
      <w:r>
        <w:rPr>
          <w:rStyle w:val="1079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а</w:t>
      </w:r>
      <w:r>
        <w:rPr>
          <w:rStyle w:val="1079"/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Style w:val="1079"/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1078"/>
        <w:jc w:val="center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b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color w:val="000000"/>
          <w:sz w:val="28"/>
          <w:szCs w:val="28"/>
          <w:highlight w:val="white"/>
        </w:rPr>
      </w:r>
    </w:p>
    <w:p>
      <w:pPr>
        <w:pStyle w:val="1027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ин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истерством промышленности и торговли Удмуртской Республики подведены итоги работы промышленных предприятий Удмуртской Республики за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январь-февраль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25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года.</w:t>
      </w: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pStyle w:val="1027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январь-февраль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25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года предприятиями респуб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лики отгружено товаров (работ, услуг) собственного производства на сумму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217,5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млрд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–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124,8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%.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 итогам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января-февраля 2025 года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индекс промышленно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оставил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112,7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%, что на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11,5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п.п. выше ИПП Российск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ой Федерацией (101,2 %)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Удмуртия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занимает 1 место в ПФО и вх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одит в ТОП-10 в Российской Федерации по ИПП.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1027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142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млрд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руб.,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темп роста к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ана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года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159,6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Удмуртия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занимает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1-е место по отрасли «обрабатывающих производств» среди регионов ПФО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– 133,7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 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входит в ТОП-3 в Российской Федерации.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ИПП выше общероссийского на 28,7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процентный пункт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(РФ –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105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%)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Доля отрасли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в общем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объеме пр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ила 65,3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1027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70"/>
        <w:numPr>
          <w:ilvl w:val="0"/>
          <w:numId w:val="79"/>
        </w:numPr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автотранспортных средств, прицепов и полуприцепов – 410,7 %;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r>
    </w:p>
    <w:p>
      <w:pPr>
        <w:pStyle w:val="870"/>
        <w:numPr>
          <w:ilvl w:val="0"/>
          <w:numId w:val="79"/>
        </w:numPr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135,2 %;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r>
    </w:p>
    <w:p>
      <w:pPr>
        <w:pStyle w:val="870"/>
        <w:numPr>
          <w:ilvl w:val="0"/>
          <w:numId w:val="79"/>
        </w:numPr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254,4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r>
    </w:p>
    <w:p>
      <w:pPr>
        <w:pStyle w:val="870"/>
        <w:numPr>
          <w:ilvl w:val="0"/>
          <w:numId w:val="79"/>
        </w:numPr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259,7 %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  <w14:ligatures w14:val="none"/>
        </w:rPr>
      </w:r>
    </w:p>
    <w:p>
      <w:pPr>
        <w:pStyle w:val="870"/>
        <w:numPr>
          <w:ilvl w:val="0"/>
          <w:numId w:val="79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готовых изделий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102,3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%.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yellow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Помимо машиностроительного комплекса положительные результаты отразили такие отрасли как: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870"/>
        <w:numPr>
          <w:ilvl w:val="0"/>
          <w:numId w:val="80"/>
        </w:numPr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кожи и изделий из кожи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108,7 %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70"/>
        <w:numPr>
          <w:ilvl w:val="0"/>
          <w:numId w:val="80"/>
        </w:numPr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роизводство мебели – 108,8 %;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70"/>
        <w:numPr>
          <w:ilvl w:val="0"/>
          <w:numId w:val="80"/>
        </w:numPr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0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2,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%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70"/>
        <w:numPr>
          <w:ilvl w:val="0"/>
          <w:numId w:val="80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роизводство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прочей неметаллической минеральной продукции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107 %.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1027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высоким показателям по итогам января-февраля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2025 года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«ИЭМЗ «Купол»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«Воткинский 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«Концерн «Калашников»,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ПАО «Ижсталь»,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«ЧМЗ»,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группа предприятий «Увадрев-Холдинг»,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«СЭГЗ»,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  <w:t xml:space="preserve">АО «Ижевский механический 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«Свет»,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«Сарапульский радиозавод»,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«Глазов. Электрон»,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«Ижевское предприятие «Спутник им. Исаенко Е.М.»,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«ИРЗ»,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ПАО «Ижнефтемаш»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«Ижевский завод пластмасс»,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«Глазовская мебельная фабрика»,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  <w:t xml:space="preserve">АО МДНП «Красная звезда»,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«Глазовский завод «Металлист»,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  <w:t xml:space="preserve">АО «Можгинский лесокомбинат»,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«Завод нефтегазового оборудования «Техновек»,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«ИОМЗ»,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ОАО «НИТИ «Прогресс»,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  <w:br/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«КБЭ ХХI века»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«Орион»,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ЗАО «ИЗМФ «ФМС»,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ЗАО «РЕСТЕР»,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«Новый дом»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«ПО Камбарский машиностроительный 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«Ижевский завод кирпича и керамзита»,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ЗАО «Можхим»,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«Завод железобетонных изделий».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yellow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yellow"/>
          <w:lang w:eastAsia="ru-RU"/>
        </w:rPr>
      </w:r>
      <w:r>
        <w:rPr>
          <w:rFonts w:ascii="PT Astra Serif" w:hAnsi="PT Astra Serif" w:cs="PT Astra Serif"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б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ыча полезных ископаемых в общем объеме производства составила 28,2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объем отгруженных товаров отрасли составил 61,3 млрд. рублей, темп рост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 к соответствующему периоду 2024 года – 83,8 %.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Индекс промышленного производства (ИПП)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по добыче полезных ископаемых в Удмуртской Республике составил 93,5 %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t xml:space="preserve">Состоялось первое в этом году рабочее совещание регионального совета отрасли беспилотных авиационных систем в Удмуртской Республике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В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 нем приняли участие члены регионального совета, в соответствии с распоряжением Правительства УР от 12.03.25 № 227-р, а также приглашенные гости - заместитель Председателя Госсовета Удмуртской Республики - Председатель постоянной комиссии по бюджету, налог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ам и финансам Наиль Раисович Мухаметзянов, представители Удмуртского государственного университета, Концерна Калашников, ГК «Zala aero», НПО «Ижевские беспилотные системы».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Одним из главных вопросов совещания стала работа по реализации национальной цели в отрасли БАС. Она заключается в появлении новой перспективной отрасли экономики.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С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егодня БПЛА применяются для решения широкого спектра гражданских задач, а беспилотные системы используются во многих сегментах экономики, таких как логистика, мониторинг, картографирование, поисковые работы и другие. Тем не менее мы только приступаем к акт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ивной фазе.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В 2024 году совместно с заинтересованными министерствами и ведомствами формировался флот БПЛА, приобретены 150 летных часов, в марте 2025 года закуплены беспилотники в количестве 22 штуки с целью проведения мониторинга лесов.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Несколько производителей из Удмуртии стали поставщиками государственного гражданского заказа Российской Федерации.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К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роме этого, приступили к активной фазе работы над научно-производственным центром БАС в Удмуртии. На базе УдГУ заработал экспериментально-тренировочный полигон закрытого типа для отработки различных сценариев БАС. Определены еще две локации тренировочно-эк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с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периментальных полигонов, одна из которых планируется в ИжГТУ, как основной площадки Научно-производственного центра, а также на территории школы юных летчиков с целью интеграции в образовательные процессы школьников. Данные договоренности достигнуты в ход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е визита в Удмуртскую Республику заместителя руководителя Росавиации.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П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роект планируется полностью реализовать в 2030 году, тогда появятся и центр коллективного пользования, и летно-испытательный комплекс, а также объекты лабораторно-исследовательского центра. В настоящее время НПЦ аккредитован и наши резиденты могут уже полу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чать грантовую поддержку от института развития «НТИ Платформа» производителей беспилотников и комплектующих к ним в сумме до 300 млн рублей на прототипирование, создание опытных образцов и мелкую серию.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t xml:space="preserve">Промышленность Республики показывает уверенный рост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Задачу Главы региона по увеличению до 1 трлн. рублей одного из главных показателей по отрасли - объемов промышленного производства, Республика выполнила уже в 2023 году. Сейчас Республика первая в ПФО по индексу промышленного производства.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Значительный вклад в развитие промышленности внесло машиностроение, нарастившее объемы высокотехнологичной продукции почти на 20%. При этом предприятия машиностроительного комплекса Удмуртии продолжают реализовывать инвестицион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ные проекты, в том числе по импортозамещению. За 2024 год и первый квартал 2025 года в реестре российской продукции зарегистрировалось более 60 предприятий промышленности Республики, а всего их более 500.</w:t>
      </w:r>
      <w:r/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Такого роста невозможно было бы добиться без финансовой поддержки Правительства УР. В 2024 году эта сумма увеличилась на 77% по сравнению с предыдущим годом и составила 670,8 млн рублей. В результате прирост в 2 млрд рублей налогов в бюджет УР, создание бо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лее 2 тысяч новых рабочих мест, 8 млрд рублей инвестировано в производство.</w:t>
      </w:r>
      <w:r/>
      <w:r/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ПАО «Ижнефтемаш» организовало производство установки смесительной машины, а также насосной установки на базе шасси «Камаз»;</w:t>
      </w:r>
      <w:r/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ООО ПО «КМЗ» начало производство Тепловоза-снегоочистителя;</w:t>
      </w:r>
      <w:r/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ООО «ЗМТ» создало станцию управления лифтом;</w:t>
      </w:r>
      <w:r/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ООО «Криотехника» разработали два уникальных транспортных криогенных резервуара с давлением 1,6 МПа под этилен;</w:t>
      </w:r>
      <w:r/>
      <w:r/>
    </w:p>
    <w:p>
      <w:pPr>
        <w:ind w:left="0" w:right="0" w:firstLine="72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Cеченовский Университет и Ижевский радиозавод заключили соглашение о сотрудничестве и бизнес-партнёрстве.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Росту промышленного производства способствует федеральный проект «Производительность труда», инициированный Президентом России еще в 2019 году. Мы внедрили методы бережливого производства в более 100 предприятиях республики и доказали, что пре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дприятия с теми же рабочими могут производить в 2 раза больше продукции. До 2030 года планируем привлечь в нацпроект еще 67 предприятий.</w:t>
      </w:r>
      <w:r/>
      <w:r/>
    </w:p>
    <w:p>
      <w:pPr>
        <w:ind w:left="0" w:right="0" w:firstLine="72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Промышленные предприятия могут рассчитывать на поддержку научно-исследовательской и технологической деятельности. Популярной мерой государственной поддержки является льготное заемное финансирование под 6,5% годовых.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t xml:space="preserve">Продолжаем распространять принципы бережливого производства на предприятиях Удмуртии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Н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овым участником федерального проекта «Производительность труда» стала воткинская обувная фабрика «Дарина». Это семейное предприятие, работает с 2007 года, специализируется на резиновой обуви. Здесь выпускают до 3,5 млн пар в год. Сейчас «Дарина» входит в ч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исло ведущих производителей обуви.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С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 текущего месяца на производстве запущен проект по оптимизации производства и отгрузки цельнолитьевой обуви из ЭВА. Впереди у «Дарины» пять месяцев активной работы по намеченным целям. А они амбициозные - 30% рост выработки и 50% сокращение запасов незавер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ш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енного производства. Проект предполагает использование новейших технологий, модернизацию производственного цикла и развитие профессиональных навыков сотрудников. Главная задача программы — повысить общую производительность предприятия, сократить затраты и 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усилить конкурентоспособность на рынке. 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Предприятие будет работать с федеральным центром компетенций. В этом году с ФЦК будут работать 4 участника нацпроекта. Еще 8 будет вести Региональный Центр Компетенций, который напомню, по итогам прошлого года стал лучшим в стране. Результаты уч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астников крайне важны, потому что от успешного внедрения принципов бережливого производства во многом зависит прибыль компаний. Республика, в свою очередь, получает больше налоговых отчислений.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МУП города Ижевска «Ижводоканал» активно развивает и применяет знания, полученные в рамках национального проекта «Производительность труда», демонстрируя успешную реализацию принципов бережливого производства.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С 2020 года предприятие участвует в федеральном проекте «Производительность труда», не ограничился одним проектом, продолжая внедрение эффективных методов работы своими силами.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Для повышения безопасности и дисциплины сотрудников, занимающихся аварийными работами, на предприятии ежегодно проводится конкурс «Лучший автокунг». Этот конкурс направлен на улучшение организации рабочего пространства и обеспечение соблюдения всех необходи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мых стандартов.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При оценке участников конкурса учитываются такие критерии, как наличие инструментов, расходных материалов, дорожных знаков, правильное размещение оборудования в кузове автомобиля, доступность средств индивидуальной защиты и огнетушителей, а также соответств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ие условиям труда.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yellow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yellow"/>
        </w:rPr>
      </w:r>
      <w:r>
        <w:rPr>
          <w:highlight w:val="whit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4"/>
      <w:rPr>
        <w:rStyle w:val="1072"/>
      </w:rPr>
      <w:framePr w:wrap="around" w:vAnchor="text" w:hAnchor="margin" w:xAlign="right" w:y="1"/>
    </w:pPr>
    <w:r>
      <w:rPr>
        <w:rStyle w:val="1072"/>
      </w:rPr>
      <w:fldChar w:fldCharType="begin"/>
    </w:r>
    <w:r>
      <w:rPr>
        <w:rStyle w:val="1072"/>
      </w:rPr>
      <w:instrText xml:space="preserve">PAGE  </w:instrText>
    </w:r>
    <w:r>
      <w:rPr>
        <w:rStyle w:val="1072"/>
      </w:rPr>
      <w:fldChar w:fldCharType="separate"/>
    </w:r>
    <w:r>
      <w:rPr>
        <w:rStyle w:val="1072"/>
      </w:rPr>
      <w:t xml:space="preserve">5</w:t>
    </w:r>
    <w:r>
      <w:rPr>
        <w:rStyle w:val="1072"/>
      </w:rPr>
      <w:fldChar w:fldCharType="end"/>
    </w:r>
    <w:r>
      <w:rPr>
        <w:rStyle w:val="1072"/>
      </w:rPr>
    </w:r>
    <w:r>
      <w:rPr>
        <w:rStyle w:val="1072"/>
      </w:rPr>
    </w:r>
  </w:p>
  <w:p>
    <w:pPr>
      <w:pStyle w:val="106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102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8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Heading 1"/>
    <w:basedOn w:val="1027"/>
    <w:next w:val="1027"/>
    <w:link w:val="8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3">
    <w:name w:val="Heading 1 Char"/>
    <w:link w:val="852"/>
    <w:uiPriority w:val="9"/>
    <w:rPr>
      <w:rFonts w:ascii="Arial" w:hAnsi="Arial" w:eastAsia="Arial" w:cs="Arial"/>
      <w:sz w:val="40"/>
      <w:szCs w:val="40"/>
    </w:rPr>
  </w:style>
  <w:style w:type="paragraph" w:styleId="854">
    <w:name w:val="Heading 2"/>
    <w:basedOn w:val="1027"/>
    <w:next w:val="1027"/>
    <w:link w:val="8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5">
    <w:name w:val="Heading 2 Char"/>
    <w:link w:val="854"/>
    <w:uiPriority w:val="9"/>
    <w:rPr>
      <w:rFonts w:ascii="Arial" w:hAnsi="Arial" w:eastAsia="Arial" w:cs="Arial"/>
      <w:sz w:val="34"/>
    </w:rPr>
  </w:style>
  <w:style w:type="paragraph" w:styleId="856">
    <w:name w:val="Heading 3"/>
    <w:basedOn w:val="1027"/>
    <w:next w:val="1027"/>
    <w:link w:val="8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7">
    <w:name w:val="Heading 3 Char"/>
    <w:link w:val="856"/>
    <w:uiPriority w:val="9"/>
    <w:rPr>
      <w:rFonts w:ascii="Arial" w:hAnsi="Arial" w:eastAsia="Arial" w:cs="Arial"/>
      <w:sz w:val="30"/>
      <w:szCs w:val="30"/>
    </w:rPr>
  </w:style>
  <w:style w:type="paragraph" w:styleId="858">
    <w:name w:val="Heading 4"/>
    <w:basedOn w:val="1027"/>
    <w:next w:val="1027"/>
    <w:link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9">
    <w:name w:val="Heading 4 Char"/>
    <w:link w:val="858"/>
    <w:uiPriority w:val="9"/>
    <w:rPr>
      <w:rFonts w:ascii="Arial" w:hAnsi="Arial" w:eastAsia="Arial" w:cs="Arial"/>
      <w:b/>
      <w:bCs/>
      <w:sz w:val="26"/>
      <w:szCs w:val="26"/>
    </w:rPr>
  </w:style>
  <w:style w:type="paragraph" w:styleId="860">
    <w:name w:val="Heading 5"/>
    <w:basedOn w:val="1027"/>
    <w:next w:val="1027"/>
    <w:link w:val="8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1">
    <w:name w:val="Heading 5 Char"/>
    <w:link w:val="860"/>
    <w:uiPriority w:val="9"/>
    <w:rPr>
      <w:rFonts w:ascii="Arial" w:hAnsi="Arial" w:eastAsia="Arial" w:cs="Arial"/>
      <w:b/>
      <w:bCs/>
      <w:sz w:val="24"/>
      <w:szCs w:val="24"/>
    </w:rPr>
  </w:style>
  <w:style w:type="paragraph" w:styleId="862">
    <w:name w:val="Heading 6"/>
    <w:basedOn w:val="1027"/>
    <w:next w:val="1027"/>
    <w:link w:val="8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3">
    <w:name w:val="Heading 6 Char"/>
    <w:link w:val="862"/>
    <w:uiPriority w:val="9"/>
    <w:rPr>
      <w:rFonts w:ascii="Arial" w:hAnsi="Arial" w:eastAsia="Arial" w:cs="Arial"/>
      <w:b/>
      <w:bCs/>
      <w:sz w:val="22"/>
      <w:szCs w:val="22"/>
    </w:rPr>
  </w:style>
  <w:style w:type="paragraph" w:styleId="864">
    <w:name w:val="Heading 7"/>
    <w:basedOn w:val="1027"/>
    <w:next w:val="1027"/>
    <w:link w:val="8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5">
    <w:name w:val="Heading 7 Char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6">
    <w:name w:val="Heading 8"/>
    <w:basedOn w:val="1027"/>
    <w:next w:val="1027"/>
    <w:link w:val="8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7">
    <w:name w:val="Heading 8 Char"/>
    <w:link w:val="866"/>
    <w:uiPriority w:val="9"/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1027"/>
    <w:next w:val="1027"/>
    <w:link w:val="8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9 Char"/>
    <w:link w:val="868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List Paragraph"/>
    <w:basedOn w:val="1027"/>
    <w:uiPriority w:val="34"/>
    <w:qFormat/>
    <w:pPr>
      <w:contextualSpacing/>
      <w:ind w:left="720"/>
    </w:pPr>
  </w:style>
  <w:style w:type="paragraph" w:styleId="871">
    <w:name w:val="No Spacing"/>
    <w:uiPriority w:val="1"/>
    <w:qFormat/>
    <w:pPr>
      <w:spacing w:before="0" w:after="0" w:line="240" w:lineRule="auto"/>
    </w:pPr>
  </w:style>
  <w:style w:type="character" w:styleId="872">
    <w:name w:val="Title Char"/>
    <w:link w:val="1101"/>
    <w:uiPriority w:val="10"/>
    <w:rPr>
      <w:sz w:val="48"/>
      <w:szCs w:val="48"/>
    </w:rPr>
  </w:style>
  <w:style w:type="paragraph" w:styleId="873">
    <w:name w:val="Subtitle"/>
    <w:basedOn w:val="1027"/>
    <w:next w:val="1027"/>
    <w:link w:val="874"/>
    <w:uiPriority w:val="11"/>
    <w:qFormat/>
    <w:pPr>
      <w:spacing w:before="200" w:after="200"/>
    </w:pPr>
    <w:rPr>
      <w:sz w:val="24"/>
      <w:szCs w:val="24"/>
    </w:rPr>
  </w:style>
  <w:style w:type="character" w:styleId="874">
    <w:name w:val="Subtitle Char"/>
    <w:link w:val="873"/>
    <w:uiPriority w:val="11"/>
    <w:rPr>
      <w:sz w:val="24"/>
      <w:szCs w:val="24"/>
    </w:rPr>
  </w:style>
  <w:style w:type="paragraph" w:styleId="875">
    <w:name w:val="Quote"/>
    <w:basedOn w:val="1027"/>
    <w:next w:val="1027"/>
    <w:link w:val="876"/>
    <w:uiPriority w:val="29"/>
    <w:qFormat/>
    <w:pPr>
      <w:ind w:left="720" w:right="720"/>
    </w:pPr>
    <w:rPr>
      <w:i/>
    </w:rPr>
  </w:style>
  <w:style w:type="character" w:styleId="876">
    <w:name w:val="Quote Char"/>
    <w:link w:val="875"/>
    <w:uiPriority w:val="29"/>
    <w:rPr>
      <w:i/>
    </w:rPr>
  </w:style>
  <w:style w:type="paragraph" w:styleId="877">
    <w:name w:val="Intense Quote"/>
    <w:basedOn w:val="1027"/>
    <w:next w:val="1027"/>
    <w:link w:val="8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8">
    <w:name w:val="Intense Quote Char"/>
    <w:link w:val="877"/>
    <w:uiPriority w:val="30"/>
    <w:rPr>
      <w:i/>
    </w:rPr>
  </w:style>
  <w:style w:type="character" w:styleId="879">
    <w:name w:val="Header Char"/>
    <w:link w:val="1100"/>
    <w:uiPriority w:val="99"/>
  </w:style>
  <w:style w:type="paragraph" w:styleId="880">
    <w:name w:val="Footer"/>
    <w:basedOn w:val="1027"/>
    <w:link w:val="8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1">
    <w:name w:val="Footer Char"/>
    <w:link w:val="880"/>
    <w:uiPriority w:val="99"/>
  </w:style>
  <w:style w:type="character" w:styleId="882">
    <w:name w:val="Caption Char"/>
    <w:basedOn w:val="1105"/>
    <w:link w:val="880"/>
    <w:uiPriority w:val="99"/>
  </w:style>
  <w:style w:type="table" w:styleId="8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9">
    <w:name w:val="Hyperlink"/>
    <w:uiPriority w:val="99"/>
    <w:unhideWhenUsed/>
    <w:rPr>
      <w:color w:val="0000ff" w:themeColor="hyperlink"/>
      <w:u w:val="single"/>
    </w:rPr>
  </w:style>
  <w:style w:type="paragraph" w:styleId="1010">
    <w:name w:val="footnote text"/>
    <w:basedOn w:val="1027"/>
    <w:link w:val="1011"/>
    <w:uiPriority w:val="99"/>
    <w:semiHidden/>
    <w:unhideWhenUsed/>
    <w:pPr>
      <w:spacing w:after="40" w:line="240" w:lineRule="auto"/>
    </w:pPr>
    <w:rPr>
      <w:sz w:val="18"/>
    </w:rPr>
  </w:style>
  <w:style w:type="character" w:styleId="1011">
    <w:name w:val="Footnote Text Char"/>
    <w:link w:val="1010"/>
    <w:uiPriority w:val="99"/>
    <w:rPr>
      <w:sz w:val="18"/>
    </w:rPr>
  </w:style>
  <w:style w:type="character" w:styleId="1012">
    <w:name w:val="footnote reference"/>
    <w:uiPriority w:val="99"/>
    <w:unhideWhenUsed/>
    <w:rPr>
      <w:vertAlign w:val="superscript"/>
    </w:rPr>
  </w:style>
  <w:style w:type="paragraph" w:styleId="1013">
    <w:name w:val="endnote text"/>
    <w:basedOn w:val="1027"/>
    <w:link w:val="1014"/>
    <w:uiPriority w:val="99"/>
    <w:semiHidden/>
    <w:unhideWhenUsed/>
    <w:pPr>
      <w:spacing w:after="0" w:line="240" w:lineRule="auto"/>
    </w:pPr>
    <w:rPr>
      <w:sz w:val="20"/>
    </w:rPr>
  </w:style>
  <w:style w:type="character" w:styleId="1014">
    <w:name w:val="Endnote Text Char"/>
    <w:link w:val="1013"/>
    <w:uiPriority w:val="99"/>
    <w:rPr>
      <w:sz w:val="20"/>
    </w:rPr>
  </w:style>
  <w:style w:type="character" w:styleId="1015">
    <w:name w:val="endnote reference"/>
    <w:uiPriority w:val="99"/>
    <w:semiHidden/>
    <w:unhideWhenUsed/>
    <w:rPr>
      <w:vertAlign w:val="superscript"/>
    </w:rPr>
  </w:style>
  <w:style w:type="paragraph" w:styleId="1016">
    <w:name w:val="toc 1"/>
    <w:basedOn w:val="1027"/>
    <w:next w:val="1027"/>
    <w:uiPriority w:val="39"/>
    <w:unhideWhenUsed/>
    <w:pPr>
      <w:ind w:left="0" w:right="0" w:firstLine="0"/>
      <w:spacing w:after="57"/>
    </w:pPr>
  </w:style>
  <w:style w:type="paragraph" w:styleId="1017">
    <w:name w:val="toc 2"/>
    <w:basedOn w:val="1027"/>
    <w:next w:val="1027"/>
    <w:uiPriority w:val="39"/>
    <w:unhideWhenUsed/>
    <w:pPr>
      <w:ind w:left="283" w:right="0" w:firstLine="0"/>
      <w:spacing w:after="57"/>
    </w:pPr>
  </w:style>
  <w:style w:type="paragraph" w:styleId="1018">
    <w:name w:val="toc 3"/>
    <w:basedOn w:val="1027"/>
    <w:next w:val="1027"/>
    <w:uiPriority w:val="39"/>
    <w:unhideWhenUsed/>
    <w:pPr>
      <w:ind w:left="567" w:right="0" w:firstLine="0"/>
      <w:spacing w:after="57"/>
    </w:pPr>
  </w:style>
  <w:style w:type="paragraph" w:styleId="1019">
    <w:name w:val="toc 4"/>
    <w:basedOn w:val="1027"/>
    <w:next w:val="1027"/>
    <w:uiPriority w:val="39"/>
    <w:unhideWhenUsed/>
    <w:pPr>
      <w:ind w:left="850" w:right="0" w:firstLine="0"/>
      <w:spacing w:after="57"/>
    </w:pPr>
  </w:style>
  <w:style w:type="paragraph" w:styleId="1020">
    <w:name w:val="toc 5"/>
    <w:basedOn w:val="1027"/>
    <w:next w:val="1027"/>
    <w:uiPriority w:val="39"/>
    <w:unhideWhenUsed/>
    <w:pPr>
      <w:ind w:left="1134" w:right="0" w:firstLine="0"/>
      <w:spacing w:after="57"/>
    </w:pPr>
  </w:style>
  <w:style w:type="paragraph" w:styleId="1021">
    <w:name w:val="toc 6"/>
    <w:basedOn w:val="1027"/>
    <w:next w:val="1027"/>
    <w:uiPriority w:val="39"/>
    <w:unhideWhenUsed/>
    <w:pPr>
      <w:ind w:left="1417" w:right="0" w:firstLine="0"/>
      <w:spacing w:after="57"/>
    </w:pPr>
  </w:style>
  <w:style w:type="paragraph" w:styleId="1022">
    <w:name w:val="toc 7"/>
    <w:basedOn w:val="1027"/>
    <w:next w:val="1027"/>
    <w:uiPriority w:val="39"/>
    <w:unhideWhenUsed/>
    <w:pPr>
      <w:ind w:left="1701" w:right="0" w:firstLine="0"/>
      <w:spacing w:after="57"/>
    </w:pPr>
  </w:style>
  <w:style w:type="paragraph" w:styleId="1023">
    <w:name w:val="toc 8"/>
    <w:basedOn w:val="1027"/>
    <w:next w:val="1027"/>
    <w:uiPriority w:val="39"/>
    <w:unhideWhenUsed/>
    <w:pPr>
      <w:ind w:left="1984" w:right="0" w:firstLine="0"/>
      <w:spacing w:after="57"/>
    </w:pPr>
  </w:style>
  <w:style w:type="paragraph" w:styleId="1024">
    <w:name w:val="toc 9"/>
    <w:basedOn w:val="1027"/>
    <w:next w:val="1027"/>
    <w:uiPriority w:val="39"/>
    <w:unhideWhenUsed/>
    <w:pPr>
      <w:ind w:left="2268" w:right="0" w:firstLine="0"/>
      <w:spacing w:after="57"/>
    </w:pPr>
  </w:style>
  <w:style w:type="paragraph" w:styleId="1025">
    <w:name w:val="TOC Heading"/>
    <w:uiPriority w:val="39"/>
    <w:unhideWhenUsed/>
  </w:style>
  <w:style w:type="paragraph" w:styleId="1026">
    <w:name w:val="table of figures"/>
    <w:basedOn w:val="1027"/>
    <w:next w:val="1027"/>
    <w:uiPriority w:val="99"/>
    <w:unhideWhenUsed/>
    <w:pPr>
      <w:spacing w:after="0" w:afterAutospacing="0"/>
    </w:pPr>
  </w:style>
  <w:style w:type="paragraph" w:styleId="1027" w:default="1">
    <w:name w:val="Normal"/>
    <w:next w:val="1027"/>
    <w:link w:val="1027"/>
    <w:qFormat/>
    <w:rPr>
      <w:lang w:val="ru-RU" w:eastAsia="ar-SA" w:bidi="ar-SA"/>
    </w:rPr>
  </w:style>
  <w:style w:type="paragraph" w:styleId="1028">
    <w:name w:val="Заголовок 1"/>
    <w:basedOn w:val="1027"/>
    <w:next w:val="1027"/>
    <w:link w:val="1095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29">
    <w:name w:val="Заголовок 2"/>
    <w:basedOn w:val="1027"/>
    <w:next w:val="1029"/>
    <w:link w:val="109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1030">
    <w:name w:val="Заголовок 3"/>
    <w:basedOn w:val="1027"/>
    <w:next w:val="1027"/>
    <w:link w:val="109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1031">
    <w:name w:val="Заголовок 4"/>
    <w:basedOn w:val="1027"/>
    <w:next w:val="1027"/>
    <w:link w:val="1097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1032">
    <w:name w:val="Основной шрифт абзаца"/>
    <w:next w:val="1032"/>
    <w:link w:val="1027"/>
    <w:semiHidden/>
  </w:style>
  <w:style w:type="table" w:styleId="1033">
    <w:name w:val="Обычная таблица"/>
    <w:next w:val="1033"/>
    <w:link w:val="1027"/>
    <w:uiPriority w:val="99"/>
    <w:semiHidden/>
    <w:unhideWhenUsed/>
    <w:tblPr/>
  </w:style>
  <w:style w:type="numbering" w:styleId="1034">
    <w:name w:val="Нет списка"/>
    <w:next w:val="1034"/>
    <w:link w:val="1027"/>
    <w:uiPriority w:val="99"/>
    <w:semiHidden/>
    <w:unhideWhenUsed/>
  </w:style>
  <w:style w:type="character" w:styleId="1035">
    <w:name w:val="Основной шрифт абзаца6"/>
    <w:next w:val="1035"/>
    <w:link w:val="1027"/>
  </w:style>
  <w:style w:type="character" w:styleId="1036">
    <w:name w:val="Основной шрифт абзаца5"/>
    <w:next w:val="1036"/>
    <w:link w:val="1027"/>
  </w:style>
  <w:style w:type="character" w:styleId="1037">
    <w:name w:val="Основной шрифт абзаца4"/>
    <w:next w:val="1037"/>
    <w:link w:val="1027"/>
  </w:style>
  <w:style w:type="character" w:styleId="1038">
    <w:name w:val="Absatz-Standardschriftart"/>
    <w:next w:val="1038"/>
    <w:link w:val="1027"/>
  </w:style>
  <w:style w:type="character" w:styleId="1039">
    <w:name w:val="WW-Absatz-Standardschriftart"/>
    <w:next w:val="1039"/>
    <w:link w:val="1027"/>
  </w:style>
  <w:style w:type="character" w:styleId="1040">
    <w:name w:val="Основной шрифт абзаца3"/>
    <w:next w:val="1040"/>
    <w:link w:val="1027"/>
  </w:style>
  <w:style w:type="character" w:styleId="1041">
    <w:name w:val="WW-Absatz-Standardschriftart1"/>
    <w:next w:val="1041"/>
    <w:link w:val="1027"/>
  </w:style>
  <w:style w:type="character" w:styleId="1042">
    <w:name w:val="Основной шрифт абзаца2"/>
    <w:next w:val="1042"/>
    <w:link w:val="1027"/>
  </w:style>
  <w:style w:type="character" w:styleId="1043">
    <w:name w:val="WW-Absatz-Standardschriftart11"/>
    <w:next w:val="1043"/>
    <w:link w:val="1027"/>
  </w:style>
  <w:style w:type="character" w:styleId="1044">
    <w:name w:val="Основной шрифт абзаца1"/>
    <w:next w:val="1044"/>
    <w:link w:val="1027"/>
  </w:style>
  <w:style w:type="character" w:styleId="1045">
    <w:name w:val="Îñíîâíîé øðèôò"/>
    <w:next w:val="1045"/>
    <w:link w:val="1027"/>
  </w:style>
  <w:style w:type="character" w:styleId="1046">
    <w:name w:val="Гиперссылка"/>
    <w:next w:val="1046"/>
    <w:link w:val="1027"/>
    <w:uiPriority w:val="99"/>
    <w:semiHidden/>
    <w:rPr>
      <w:color w:val="0000ff"/>
      <w:u w:val="single"/>
    </w:rPr>
  </w:style>
  <w:style w:type="character" w:styleId="1047">
    <w:name w:val="Просмотренная гиперссылка"/>
    <w:next w:val="1047"/>
    <w:link w:val="1027"/>
    <w:semiHidden/>
    <w:rPr>
      <w:color w:val="800080"/>
      <w:u w:val="single"/>
    </w:rPr>
  </w:style>
  <w:style w:type="paragraph" w:styleId="1048">
    <w:name w:val="Заголовок"/>
    <w:basedOn w:val="1027"/>
    <w:next w:val="1049"/>
    <w:link w:val="102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49">
    <w:name w:val="Основной текст"/>
    <w:basedOn w:val="1027"/>
    <w:next w:val="1049"/>
    <w:link w:val="1027"/>
    <w:semiHidden/>
    <w:rPr>
      <w:sz w:val="28"/>
    </w:rPr>
  </w:style>
  <w:style w:type="paragraph" w:styleId="1050">
    <w:name w:val="Список"/>
    <w:basedOn w:val="1049"/>
    <w:next w:val="1050"/>
    <w:link w:val="1027"/>
    <w:semiHidden/>
    <w:rPr>
      <w:rFonts w:ascii="Arial" w:hAnsi="Arial" w:cs="Tahoma"/>
    </w:rPr>
  </w:style>
  <w:style w:type="paragraph" w:styleId="1051">
    <w:name w:val="Название6"/>
    <w:basedOn w:val="1027"/>
    <w:next w:val="1051"/>
    <w:link w:val="102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2">
    <w:name w:val="Указатель6"/>
    <w:basedOn w:val="1027"/>
    <w:next w:val="1052"/>
    <w:link w:val="1027"/>
    <w:pPr>
      <w:suppressLineNumbers/>
    </w:pPr>
    <w:rPr>
      <w:rFonts w:ascii="Arial" w:hAnsi="Arial" w:cs="Tahoma"/>
    </w:rPr>
  </w:style>
  <w:style w:type="paragraph" w:styleId="1053">
    <w:name w:val="Название5"/>
    <w:basedOn w:val="1027"/>
    <w:next w:val="1053"/>
    <w:link w:val="102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4">
    <w:name w:val="Указатель5"/>
    <w:basedOn w:val="1027"/>
    <w:next w:val="1054"/>
    <w:link w:val="1027"/>
    <w:pPr>
      <w:suppressLineNumbers/>
    </w:pPr>
    <w:rPr>
      <w:rFonts w:ascii="Arial" w:hAnsi="Arial" w:cs="Tahoma"/>
    </w:rPr>
  </w:style>
  <w:style w:type="paragraph" w:styleId="1055">
    <w:name w:val="Название4"/>
    <w:basedOn w:val="1027"/>
    <w:next w:val="1055"/>
    <w:link w:val="102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6">
    <w:name w:val="Указатель4"/>
    <w:basedOn w:val="1027"/>
    <w:next w:val="1056"/>
    <w:link w:val="1027"/>
    <w:pPr>
      <w:suppressLineNumbers/>
    </w:pPr>
    <w:rPr>
      <w:rFonts w:ascii="Arial" w:hAnsi="Arial" w:cs="Tahoma"/>
    </w:rPr>
  </w:style>
  <w:style w:type="paragraph" w:styleId="1057">
    <w:name w:val="Название3"/>
    <w:basedOn w:val="1027"/>
    <w:next w:val="1057"/>
    <w:link w:val="102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8">
    <w:name w:val="Указатель3"/>
    <w:basedOn w:val="1027"/>
    <w:next w:val="1058"/>
    <w:link w:val="1027"/>
    <w:pPr>
      <w:suppressLineNumbers/>
    </w:pPr>
    <w:rPr>
      <w:rFonts w:ascii="Arial" w:hAnsi="Arial" w:cs="Tahoma"/>
    </w:rPr>
  </w:style>
  <w:style w:type="paragraph" w:styleId="1059">
    <w:name w:val="Название2"/>
    <w:basedOn w:val="1027"/>
    <w:next w:val="1059"/>
    <w:link w:val="102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60">
    <w:name w:val="Указатель2"/>
    <w:basedOn w:val="1027"/>
    <w:next w:val="1060"/>
    <w:link w:val="1027"/>
    <w:pPr>
      <w:suppressLineNumbers/>
    </w:pPr>
    <w:rPr>
      <w:rFonts w:ascii="Arial" w:hAnsi="Arial" w:cs="Tahoma"/>
    </w:rPr>
  </w:style>
  <w:style w:type="paragraph" w:styleId="1061">
    <w:name w:val="Название1"/>
    <w:basedOn w:val="1027"/>
    <w:next w:val="1061"/>
    <w:link w:val="102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62">
    <w:name w:val="Указатель1"/>
    <w:basedOn w:val="1027"/>
    <w:next w:val="1062"/>
    <w:link w:val="1027"/>
    <w:pPr>
      <w:suppressLineNumbers/>
    </w:pPr>
    <w:rPr>
      <w:rFonts w:ascii="Arial" w:hAnsi="Arial" w:cs="Tahoma"/>
    </w:rPr>
  </w:style>
  <w:style w:type="paragraph" w:styleId="1063">
    <w:name w:val="Верхний колонтитул"/>
    <w:basedOn w:val="1027"/>
    <w:next w:val="1063"/>
    <w:link w:val="1070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64">
    <w:name w:val="Нижний колонтитул"/>
    <w:basedOn w:val="1027"/>
    <w:next w:val="1064"/>
    <w:link w:val="1071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65">
    <w:name w:val="Текст выноски"/>
    <w:basedOn w:val="1027"/>
    <w:next w:val="1065"/>
    <w:link w:val="1027"/>
    <w:rPr>
      <w:rFonts w:ascii="Tahoma" w:hAnsi="Tahoma" w:cs="Tahoma"/>
      <w:sz w:val="16"/>
      <w:szCs w:val="16"/>
    </w:rPr>
  </w:style>
  <w:style w:type="paragraph" w:styleId="1066">
    <w:name w:val="Содержимое таблицы"/>
    <w:basedOn w:val="1027"/>
    <w:next w:val="1066"/>
    <w:link w:val="1027"/>
    <w:pPr>
      <w:suppressLineNumbers/>
    </w:pPr>
  </w:style>
  <w:style w:type="paragraph" w:styleId="1067">
    <w:name w:val="Заголовок таблицы"/>
    <w:basedOn w:val="1066"/>
    <w:next w:val="1067"/>
    <w:link w:val="1027"/>
    <w:pPr>
      <w:jc w:val="center"/>
      <w:suppressLineNumbers/>
    </w:pPr>
    <w:rPr>
      <w:b/>
      <w:bCs/>
    </w:rPr>
  </w:style>
  <w:style w:type="paragraph" w:styleId="1068">
    <w:name w:val="Содержимое врезки"/>
    <w:basedOn w:val="1049"/>
    <w:next w:val="1068"/>
    <w:link w:val="1027"/>
  </w:style>
  <w:style w:type="table" w:styleId="1069">
    <w:name w:val="Сетка таблицы"/>
    <w:basedOn w:val="1033"/>
    <w:next w:val="1069"/>
    <w:link w:val="1027"/>
    <w:tblPr/>
  </w:style>
  <w:style w:type="character" w:styleId="1070">
    <w:name w:val="Верхний колонтитул Знак"/>
    <w:next w:val="1070"/>
    <w:link w:val="1063"/>
    <w:rPr>
      <w:lang w:eastAsia="ar-SA"/>
    </w:rPr>
  </w:style>
  <w:style w:type="character" w:styleId="1071">
    <w:name w:val="Нижний колонтитул Знак"/>
    <w:next w:val="1071"/>
    <w:link w:val="1064"/>
    <w:rPr>
      <w:lang w:eastAsia="ar-SA"/>
    </w:rPr>
  </w:style>
  <w:style w:type="character" w:styleId="1072">
    <w:name w:val="Номер страницы"/>
    <w:basedOn w:val="1032"/>
    <w:next w:val="1072"/>
    <w:link w:val="1027"/>
  </w:style>
  <w:style w:type="character" w:styleId="1073">
    <w:name w:val="Основной текст + 16,5 pt2,Курсив1,Основной текст + 10"/>
    <w:next w:val="1073"/>
    <w:link w:val="1027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74">
    <w:name w:val="Основной текст (3)_"/>
    <w:next w:val="1074"/>
    <w:link w:val="1075"/>
    <w:rPr>
      <w:sz w:val="22"/>
      <w:szCs w:val="22"/>
      <w:shd w:val="clear" w:color="auto" w:fill="ffffff"/>
    </w:rPr>
  </w:style>
  <w:style w:type="paragraph" w:styleId="1075">
    <w:name w:val="Основной текст (3)"/>
    <w:basedOn w:val="1027"/>
    <w:next w:val="1075"/>
    <w:link w:val="1074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76">
    <w:name w:val="Без интервала"/>
    <w:next w:val="1076"/>
    <w:link w:val="102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77">
    <w:name w:val="Font Style13"/>
    <w:next w:val="1077"/>
    <w:link w:val="1027"/>
    <w:rPr>
      <w:rFonts w:ascii="Times New Roman" w:hAnsi="Times New Roman" w:cs="Times New Roman"/>
      <w:sz w:val="26"/>
      <w:szCs w:val="26"/>
    </w:rPr>
  </w:style>
  <w:style w:type="paragraph" w:styleId="1078">
    <w:name w:val="Обычный (веб)"/>
    <w:basedOn w:val="1027"/>
    <w:next w:val="1078"/>
    <w:link w:val="1027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9">
    <w:name w:val="apple-converted-space"/>
    <w:next w:val="1079"/>
    <w:link w:val="1027"/>
  </w:style>
  <w:style w:type="character" w:styleId="1080">
    <w:name w:val="Font Style18"/>
    <w:next w:val="1080"/>
    <w:link w:val="1027"/>
    <w:uiPriority w:val="99"/>
    <w:rPr>
      <w:rFonts w:ascii="Times New Roman" w:hAnsi="Times New Roman" w:cs="Times New Roman"/>
      <w:sz w:val="26"/>
      <w:szCs w:val="26"/>
    </w:rPr>
  </w:style>
  <w:style w:type="paragraph" w:styleId="1081">
    <w:name w:val="Основной текст с отступом"/>
    <w:basedOn w:val="1027"/>
    <w:next w:val="1081"/>
    <w:link w:val="1082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82">
    <w:name w:val="Основной текст с отступом Знак"/>
    <w:next w:val="1082"/>
    <w:link w:val="1081"/>
    <w:uiPriority w:val="99"/>
    <w:rPr>
      <w:color w:val="000000"/>
      <w:sz w:val="28"/>
      <w:szCs w:val="28"/>
      <w:lang w:eastAsia="ar-SA"/>
    </w:rPr>
  </w:style>
  <w:style w:type="paragraph" w:styleId="1083">
    <w:name w:val="ConsPlusNormal"/>
    <w:next w:val="1083"/>
    <w:link w:val="108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84">
    <w:name w:val="ConsPlusNormal Знак"/>
    <w:next w:val="1084"/>
    <w:link w:val="1083"/>
    <w:rPr>
      <w:rFonts w:ascii="Arial" w:hAnsi="Arial" w:cs="Arial"/>
      <w:lang w:val="ru-RU" w:eastAsia="ru-RU" w:bidi="ar-SA"/>
    </w:rPr>
  </w:style>
  <w:style w:type="paragraph" w:styleId="1085">
    <w:name w:val="Основной текст с отступом 2"/>
    <w:basedOn w:val="1027"/>
    <w:next w:val="1085"/>
    <w:link w:val="1086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86">
    <w:name w:val="Основной текст с отступом 2 Знак"/>
    <w:next w:val="1086"/>
    <w:link w:val="1085"/>
    <w:uiPriority w:val="99"/>
    <w:rPr>
      <w:color w:val="000000"/>
      <w:sz w:val="26"/>
      <w:szCs w:val="26"/>
      <w:lang w:eastAsia="ar-SA"/>
    </w:rPr>
  </w:style>
  <w:style w:type="character" w:styleId="1087">
    <w:name w:val="Знак примечания"/>
    <w:next w:val="1087"/>
    <w:link w:val="1027"/>
    <w:uiPriority w:val="99"/>
    <w:semiHidden/>
    <w:unhideWhenUsed/>
    <w:rPr>
      <w:sz w:val="16"/>
      <w:szCs w:val="16"/>
    </w:rPr>
  </w:style>
  <w:style w:type="paragraph" w:styleId="1088">
    <w:name w:val="Текст примечания"/>
    <w:basedOn w:val="1027"/>
    <w:next w:val="1088"/>
    <w:link w:val="1089"/>
    <w:uiPriority w:val="99"/>
    <w:semiHidden/>
    <w:unhideWhenUsed/>
  </w:style>
  <w:style w:type="character" w:styleId="1089">
    <w:name w:val="Текст примечания Знак"/>
    <w:next w:val="1089"/>
    <w:link w:val="1088"/>
    <w:uiPriority w:val="99"/>
    <w:semiHidden/>
    <w:rPr>
      <w:lang w:eastAsia="ar-SA"/>
    </w:rPr>
  </w:style>
  <w:style w:type="paragraph" w:styleId="1090">
    <w:name w:val="Тема примечания"/>
    <w:basedOn w:val="1088"/>
    <w:next w:val="1088"/>
    <w:link w:val="1091"/>
    <w:uiPriority w:val="99"/>
    <w:semiHidden/>
    <w:unhideWhenUsed/>
    <w:rPr>
      <w:b/>
      <w:bCs/>
    </w:rPr>
  </w:style>
  <w:style w:type="character" w:styleId="1091">
    <w:name w:val="Тема примечания Знак"/>
    <w:next w:val="1091"/>
    <w:link w:val="1090"/>
    <w:uiPriority w:val="99"/>
    <w:semiHidden/>
    <w:rPr>
      <w:b/>
      <w:bCs/>
      <w:lang w:eastAsia="ar-SA"/>
    </w:rPr>
  </w:style>
  <w:style w:type="character" w:styleId="1092">
    <w:name w:val="Строгий"/>
    <w:next w:val="1092"/>
    <w:link w:val="1027"/>
    <w:uiPriority w:val="22"/>
    <w:qFormat/>
    <w:rPr>
      <w:b/>
      <w:bCs/>
    </w:rPr>
  </w:style>
  <w:style w:type="character" w:styleId="1093">
    <w:name w:val="Заголовок 2 Знак"/>
    <w:next w:val="1093"/>
    <w:link w:val="1029"/>
    <w:uiPriority w:val="9"/>
    <w:rPr>
      <w:b/>
      <w:bCs/>
      <w:sz w:val="36"/>
      <w:szCs w:val="36"/>
    </w:rPr>
  </w:style>
  <w:style w:type="paragraph" w:styleId="1094">
    <w:name w:val="paragraph"/>
    <w:basedOn w:val="1027"/>
    <w:next w:val="1094"/>
    <w:link w:val="102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95">
    <w:name w:val="Заголовок 1 Знак"/>
    <w:next w:val="1095"/>
    <w:link w:val="1028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96">
    <w:name w:val="b-article__text"/>
    <w:basedOn w:val="1027"/>
    <w:next w:val="1096"/>
    <w:link w:val="102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97">
    <w:name w:val="Заголовок 4 Знак"/>
    <w:next w:val="1097"/>
    <w:link w:val="1031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98">
    <w:name w:val="Заголовок 3 Знак"/>
    <w:next w:val="1098"/>
    <w:link w:val="1030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99">
    <w:name w:val="Абзац списка"/>
    <w:basedOn w:val="1027"/>
    <w:next w:val="1099"/>
    <w:link w:val="1027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100">
    <w:name w:val="Header"/>
    <w:next w:val="1100"/>
    <w:link w:val="1027"/>
  </w:style>
  <w:style w:type="character" w:styleId="1101">
    <w:name w:val="Title"/>
    <w:next w:val="1101"/>
    <w:link w:val="1027"/>
  </w:style>
  <w:style w:type="character" w:styleId="1102">
    <w:name w:val="dashed"/>
    <w:next w:val="1102"/>
    <w:link w:val="1027"/>
  </w:style>
  <w:style w:type="character" w:styleId="1103">
    <w:name w:val="buttons"/>
    <w:next w:val="1103"/>
    <w:link w:val="1027"/>
  </w:style>
  <w:style w:type="paragraph" w:styleId="1104">
    <w:name w:val="float"/>
    <w:basedOn w:val="1027"/>
    <w:next w:val="1104"/>
    <w:link w:val="102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105">
    <w:name w:val="Caption"/>
    <w:next w:val="1105"/>
    <w:link w:val="1027"/>
  </w:style>
  <w:style w:type="character" w:styleId="1106">
    <w:name w:val="time"/>
    <w:next w:val="1106"/>
    <w:link w:val="1027"/>
  </w:style>
  <w:style w:type="character" w:styleId="1107">
    <w:name w:val="i18n"/>
    <w:next w:val="1107"/>
    <w:link w:val="1027"/>
  </w:style>
  <w:style w:type="paragraph" w:styleId="1108">
    <w:name w:val="z-Начало формы"/>
    <w:basedOn w:val="1027"/>
    <w:next w:val="1027"/>
    <w:link w:val="1109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109">
    <w:name w:val="z-Начало формы Знак"/>
    <w:next w:val="1109"/>
    <w:link w:val="1108"/>
    <w:uiPriority w:val="99"/>
    <w:semiHidden/>
    <w:rPr>
      <w:rFonts w:ascii="Arial" w:hAnsi="Arial" w:cs="Arial"/>
      <w:vanish/>
      <w:sz w:val="16"/>
      <w:szCs w:val="16"/>
    </w:rPr>
  </w:style>
  <w:style w:type="paragraph" w:styleId="1110">
    <w:name w:val="z-Конец формы"/>
    <w:basedOn w:val="1027"/>
    <w:next w:val="1027"/>
    <w:link w:val="1111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111">
    <w:name w:val="z-Конец формы Знак"/>
    <w:next w:val="1111"/>
    <w:link w:val="1110"/>
    <w:uiPriority w:val="99"/>
    <w:semiHidden/>
    <w:rPr>
      <w:rFonts w:ascii="Arial" w:hAnsi="Arial" w:cs="Arial"/>
      <w:vanish/>
      <w:sz w:val="16"/>
      <w:szCs w:val="16"/>
    </w:rPr>
  </w:style>
  <w:style w:type="character" w:styleId="1112">
    <w:name w:val="message-time"/>
    <w:next w:val="1112"/>
    <w:link w:val="1027"/>
  </w:style>
  <w:style w:type="character" w:styleId="1113" w:default="1">
    <w:name w:val="Default Paragraph Font"/>
    <w:uiPriority w:val="1"/>
    <w:semiHidden/>
    <w:unhideWhenUsed/>
  </w:style>
  <w:style w:type="numbering" w:styleId="1114" w:default="1">
    <w:name w:val="No List"/>
    <w:uiPriority w:val="99"/>
    <w:semiHidden/>
    <w:unhideWhenUsed/>
  </w:style>
  <w:style w:type="table" w:styleId="11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lastModifiedBy>adminloc</cp:lastModifiedBy>
  <cp:revision>60</cp:revision>
  <dcterms:created xsi:type="dcterms:W3CDTF">2023-12-05T08:05:00Z</dcterms:created>
  <dcterms:modified xsi:type="dcterms:W3CDTF">2025-04-03T09:04:28Z</dcterms:modified>
  <cp:version>917504</cp:version>
</cp:coreProperties>
</file>